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0AE7" w:rsidP="009A0A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№5-906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:rsidR="009A0AE7" w:rsidRPr="00C851FC" w:rsidP="009A0A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Pr="00807B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86MS0053-01-2024-006193-43</w:t>
      </w:r>
    </w:p>
    <w:p w:rsidR="009A0AE7" w:rsidP="009A0A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0AE7" w:rsidRPr="004C1765" w:rsidP="009A0A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9A0AE7" w:rsidRPr="004C1765" w:rsidP="009A0AE7">
      <w:pPr>
        <w:tabs>
          <w:tab w:val="left" w:pos="24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1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9A0AE7" w:rsidRPr="00C851FC" w:rsidP="009A0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0AE7" w:rsidRPr="00C851FC" w:rsidP="009A0A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31 июля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г.Нягань </w:t>
      </w:r>
    </w:p>
    <w:p w:rsidR="009A0AE7" w:rsidP="009A0AE7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ровой судья судебного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участка №2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Колосова Е.С., </w:t>
      </w:r>
    </w:p>
    <w:p w:rsidR="00016E3E" w:rsidRPr="00016E3E" w:rsidP="00016E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6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защитника </w:t>
      </w:r>
      <w:r w:rsidRPr="00016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лица, в отношении которого ведется дело об административном правонарушении,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Торгашева А.В.,</w:t>
      </w:r>
    </w:p>
    <w:p w:rsidR="00E11567" w:rsidP="009A0A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индивидуального предпринимателя Осадчука Владимира Андреевича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ОГРНИП 319861700006378, ИНН 861002176330, </w:t>
      </w:r>
      <w:r w:rsidR="0042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совершении правонарушения, предусмотренного частью 1 статьи 20.35 Кодекса Российской Федерации об административных правонарушениях, </w:t>
      </w:r>
    </w:p>
    <w:p w:rsidR="009A0AE7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УСТАНОВИЛ:</w:t>
      </w:r>
    </w:p>
    <w:p w:rsidR="00E11567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1567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29.05.2024 в 09:30 индивидуальный предприниматель Осадчук В.А. (далее – ИП Осадчук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В.А.), находясь по адресу: ХМАО-Югра, г.Нягань, </w:t>
      </w:r>
      <w:r w:rsidR="00A37A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4237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 должностным лицом - индивидуальным предпринимателем, допустил функционирование торгового объекта – торгово-развлекательный центр «Оазис плаза», распо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ложенного по адресу: ХМАО-Югра, г.Белоярский, улица Мира, дом 1, с нарушением требований </w:t>
      </w:r>
      <w:r w:rsidRPr="00801DD2"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антитеррористической защищенности объекта, утвержденны</w:t>
      </w:r>
      <w:r w:rsidR="0075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801DD2"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5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01DD2"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остановлением правительством РФ от 19.10.2017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(территорий)»</w:t>
      </w:r>
      <w:r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01DD2"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именно в нарушении п.</w:t>
      </w:r>
      <w:r w:rsidR="0075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01DD2"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Постановления №127</w:t>
      </w:r>
      <w:r w:rsidR="0075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801DD2"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ТРЦ «Оазис Плаза» в г. Белоярский не организована физическая охрана торгового объекта с привлечением специализированной организации</w:t>
      </w:r>
      <w:r w:rsidRPr="009A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в его действиях состав уголовно наказуемого деяния отсутствует</w:t>
      </w:r>
      <w:r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57967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Представитель Белоярского ОВО филиала ФКГУ «УВО ВНГ России по ХМАО-Югре» в судебное заседание не явился, извещен надлежащим образом.</w:t>
      </w:r>
    </w:p>
    <w:p w:rsidR="00C37FAC" w:rsidP="00E11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Осадчук В.А</w:t>
      </w:r>
      <w:r w:rsidRPr="00C37FA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судебное заседание не явился</w:t>
      </w:r>
      <w:r w:rsid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извещен надлежащим образом, сведения об уважительности причины неявки суду не представлены.</w:t>
      </w:r>
    </w:p>
    <w:p w:rsidR="00C971A2" w:rsidP="00C97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частью 2 статьи 25.1 Кодекса Российской Федерации об административных правонарушениях, судья считает возможным рассмотр</w:t>
      </w:r>
      <w:r w:rsidRPr="00C97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еть дело в отсутствие </w:t>
      </w:r>
      <w:r w:rsidR="0075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Белоярского ОВО филиала ФКГУ «УВО ВНГ России по ХМАО-Югре» и </w:t>
      </w:r>
      <w:r w:rsidRPr="00801DD2"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Осадчук</w:t>
      </w:r>
      <w:r w:rsidR="0075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01DD2" w:rsid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6E3E" w:rsidRPr="00C971A2" w:rsidP="00C971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Защитник ИП Осадчука В.А. – Торгашев А.В., действующий на основании доверенности, в судебном заседании не оспаривал факт правонарушения, с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токолом согласился.</w:t>
      </w:r>
    </w:p>
    <w:p w:rsidR="00783E58" w:rsidP="00E1156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находит вину </w:t>
      </w:r>
      <w:r w:rsidRPr="00801DD2" w:rsidR="00801DD2">
        <w:rPr>
          <w:rFonts w:ascii="Times New Roman" w:hAnsi="Times New Roman" w:cs="Times New Roman"/>
          <w:sz w:val="28"/>
          <w:szCs w:val="28"/>
          <w:lang w:eastAsia="ru-RU"/>
        </w:rPr>
        <w:t>ИП Осадчук</w:t>
      </w:r>
      <w:r w:rsidR="00016E3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01DD2" w:rsidR="00801DD2">
        <w:rPr>
          <w:rFonts w:ascii="Times New Roman" w:hAnsi="Times New Roman" w:cs="Times New Roman"/>
          <w:sz w:val="28"/>
          <w:szCs w:val="28"/>
          <w:lang w:eastAsia="ru-RU"/>
        </w:rPr>
        <w:t xml:space="preserve"> В.А</w:t>
      </w:r>
      <w:r w:rsidRPr="00E11567" w:rsidR="00F166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20.35 Кодекса Российской Федерации об административных правонарушениях, установленной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основаниям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50320" w:rsidP="00550320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положениям 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>статьи 2 Федерального закона от 06.03.2006 № 35-ФЗ «О противодействии терроризму» (далее – Закона №35-ФЗ) противодействие терроризму в Российской Федерации основывается на таких основных принципах, как обеспече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>ние и защита основных прав и свобод человека и гражданина; законность; системность и комплексное использование политических, информационно-пропагандистских, социально-экономических, правовых, специальных и иных мер противодействия терроризму; приоритет мер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 xml:space="preserve"> предупреждения терроризма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0320" w:rsidP="005503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Частью 3.1 статьи 5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35-ФЗ юридические и физические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0320" w:rsidP="005503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Требования к торговым объектам (территориям), включая вопросы их инженерно-технической укрупнённости, категорирования, разработки паспорта безопасности, а также вопросы осуществления контроля за выполнением указанных требований утверждены Постановлением </w:t>
      </w:r>
      <w:r w:rsidRPr="009871B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Пр</w:t>
      </w:r>
      <w:r w:rsidRPr="009871BD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авительства</w:t>
      </w:r>
      <w:r w:rsidRPr="00BD1463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Российской Федерации от 19 октября 2017 года N 1273 "Об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(территории)».</w:t>
      </w:r>
    </w:p>
    <w:p w:rsidR="00801DD2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антитеррористической з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ащищенности торговых объектов (территорий) утверждены Постановлением Правительства РФ от </w:t>
      </w:r>
      <w:r w:rsidR="007579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19.10.2017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№127</w:t>
      </w:r>
      <w:r w:rsidR="007579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требований к антитеррористической</w:t>
      </w:r>
      <w:r w:rsidRPr="00801DD2">
        <w:t xml:space="preserve"> 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защищенности торговых объектов (территорий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формы паспорта безопасности торгового объекта (террито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рий).</w:t>
      </w:r>
    </w:p>
    <w:p w:rsidR="00550320" w:rsidP="00550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В силу пункта 26 Требований в зависимости от установленной категории в отношении торгового объекта (территории) реализуется комплекс мероприятий по обеспечению его антитеррористической защищенности, предусмотренный данными требованиями, который может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быть изменен в зависимости от складывающейся общественно-политической, социальной и оперативной обстановки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ийской Федерации), на территории которого расположен торговый объект (территория), или правообладателя торгового объекта (территории).</w:t>
      </w:r>
    </w:p>
    <w:p w:rsidR="00550320" w:rsidP="00550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Согласно пункту 19 Требований по решению правообладателя торгового объекта (территории) в соответствии с актом обследован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ия и категорирования торгового объекта (территории) разрабатывается перечень мероприятий по обеспечению антитеррористической защищенности торгового объекта (территории) с учетом степени его потенциальной опасности и угрозы совершения террористических актов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, а также прогнозного объема расходов на выполнение соответствующих мероприятий и источников финансирования.</w:t>
      </w:r>
    </w:p>
    <w:p w:rsidR="00757967" w:rsidP="00757967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подпунктом «г» пункта 28 Постановления Правительства РФ от 19.10.2017 №1273 </w:t>
      </w:r>
      <w:r w:rsidRPr="007579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требований к обеспечению охран</w:t>
      </w:r>
      <w:r w:rsidRPr="007579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 и защиты торгового объекта (территории), а также за уровнем подготовленности подразделения охраны торгового объекта (территории) (при их наличии) к действиям при угрозе совершения и при совершении террористического акта на торговом объекте (территории)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7967" w:rsidRPr="00757967" w:rsidP="00757967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34 названного Постановления </w:t>
      </w:r>
      <w:r w:rsidRPr="007579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целях обеспечения антитеррористической защищенности торгового объекта (территории) первой или второй категории правообладателем торгового объекта (территории) организуется его физическая охрана. К обес</w:t>
      </w:r>
      <w:r w:rsidRPr="007579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печению физической охраны торгового объекта (территории) привлекаются специализированные организации в порядке, установленном законодательством Российской Федерации.</w:t>
      </w:r>
    </w:p>
    <w:p w:rsidR="00FE779D" w:rsidP="00FE779D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ходе проверки установлено, что в нарушении п.</w:t>
      </w:r>
      <w:r w:rsid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РФ от 19.10.2017 №1273 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ТРЦ «Оазис Плаза» в г. Белоярский не организована физическая охрана торгового объекта с привлечением специализированной организации, имеющей </w:t>
      </w:r>
      <w:r w:rsidRPr="00801DD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необходимую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лицензию на осуществление частной охранной деятельности, которая может производить охрану 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объекта и (или) имущества, а также обеспечивать внутриобъектовый и пропускной режим на объекте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01DD2" w:rsidP="00E11567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Объекту по результатам обследования и категорирования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25.09.2018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присвоена 1 (первая) категория опасности, разработан и согласован в установленном законом порядке паспорт безопасности на объект ТРЦ «Оазис Плаза» в г. Белоярский, расположенный по адресу: ул. Мира, д. 1, г.Белоярский, ХМАО-Югра, утвержденный директором О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ОО «АСМ-Групп» Осадчуком </w:t>
      </w:r>
      <w:r w:rsid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С.М.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 24.10.2018 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(с </w:t>
      </w:r>
      <w:r w:rsid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01.03.2021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ООО «АСМ Групп» ликвидирован Осадчуком </w:t>
      </w:r>
      <w:r w:rsid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С.М.</w:t>
      </w:r>
      <w:r w:rsidRPr="00801D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D5E77" w:rsidRPr="006D5E77" w:rsidP="008875A2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Согласно пункту 3 Постановления Правительства РФ от 19.10.2017 №1273 о</w:t>
      </w:r>
      <w:r w:rsidRP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тветственность за обеспечение антитеррористической защищенности торговых объектов </w:t>
      </w:r>
      <w:r w:rsidRP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</w:t>
      </w:r>
      <w:r w:rsidRP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 (далее - правообладатели торговых </w:t>
      </w:r>
      <w:r w:rsidRP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объектов (территорий), а также на должностных лиц, о</w:t>
      </w:r>
      <w:r w:rsidRP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существляющих непосредственное руководство деятельностью работников торговых объектов (территорий) (далее - руководитель объекта).</w:t>
      </w:r>
    </w:p>
    <w:p w:rsidR="00A37AFE" w:rsidP="008875A2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Правообладателем помещени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с кадастровыми номерами №№ 86:06:0020101:3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015, 86:06:0020101:3057, 86:06:0020101:5048,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01:3059, </w:t>
      </w:r>
      <w:r w:rsid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86:06:0020101:3070,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6D5E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86:06:0020101:3081, 86:06:0020101:3092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86:06:0020101:3103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86:06:0020101:3016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86:06:0020101:3017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86:06:0020101:3018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86:06:0020101:3019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86:06:0020101:3020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86:06:0020101:3021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86:06:0020101:3022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06:0020101:3023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86:06:0020101:3024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86:06:0020101:3026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86:06:0020101:3027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86:06:0020101:3028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86:06:0020101:3029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86:06:0020101:3030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86:06:0020101:3031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86:06:0020101:3032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86:06:0020101:3033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86:06:0020101:3034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86:06:0020101:303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86:06:0020101:3036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86:06:0020101:3038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1:3039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86:06:0020101:3040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86:06:0020101:3041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86:06:0020101:3042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86:06:0020101:3043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86:06:0020101:3044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7AFE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86:06:0020101:3082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86:06:0020101:3083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86:06:0020101:3084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86:06:0020101:3086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86:06:0020101:3087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86:06:0020101:3088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86:06:0020101:3089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86:06:0020101:3102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86:06:0020101:3104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86:06:0020101:3105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86:06:0020101:3106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86:06:0020101:3107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86:06:0020101:3108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86:06:0020101:3109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875A2" w:rsidR="008875A2">
        <w:t xml:space="preserve"> 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86:06:0020101:3110</w:t>
      </w:r>
      <w:r w:rsidRPr="008875A2"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торгового объект</w:t>
      </w:r>
      <w:r w:rsidRPr="00A37A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ТРЦ «Оазис Плаза» в г. Белоярский</w:t>
      </w:r>
      <w:r w:rsid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является Осадчук В.А, что подтверждается договором дарения от 15.12.2020 и выпиской из ЕГРН от 12.04.2024 (кадастровый номер №86:06:0020101:2706).</w:t>
      </w:r>
    </w:p>
    <w:p w:rsidR="008875A2" w:rsidP="008875A2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Невыполнение правообладателем требований антитеррористической защищенност</w:t>
      </w:r>
      <w:r w:rsidRP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торгового объекта свидетельствует о нарушении законодательства о противодействии терроризму, создает угрозу жизни и здоровью</w:t>
      </w:r>
      <w:r w:rsidRP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неопределенному кругу лиц, невозможности своевременного предупреждения и устранения последствий совершения террористического акта</w:t>
      </w:r>
      <w:r w:rsidRPr="008875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противоречит охраняемым законом интересам общества и государства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0B78" w:rsidP="0086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Изложенное обстоятельство указывает на совершение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ИП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Осадчуком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В.А.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административного правонарушения ответственность, за которое пред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усмотрена частью 1 статьи 20.35 </w:t>
      </w:r>
      <w:r w:rsidRPr="00C851FC" w:rsidR="006D5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правонарушениях,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- нарушение требований к антитеррористической защищенности объектов, выразившееся в бездействии в виде неисполнения пункта </w:t>
      </w:r>
      <w:r w:rsidR="006D5E77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34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Постановления 127</w:t>
      </w:r>
      <w:r w:rsidR="006D5E77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3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: отсутствие физической охраны торгового объекта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-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ab/>
        <w:t>ТРЦ «Оазис плаз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а» в г. Белоярский с привлечением специализированной организации</w:t>
      </w:r>
      <w:r w:rsidR="00D73B4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.</w:t>
      </w:r>
    </w:p>
    <w:p w:rsidR="00D73B45" w:rsidP="0086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D73B4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Невыполнение требований к антитеррористической защищенности объекта свидетельствует о нарушении законодательства о противодействии терроризму, создает угрозу жизни и здоровью неопределенного</w:t>
      </w:r>
      <w:r w:rsidRPr="00D73B4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 круга лиц, невозможность своевременного предупреждения и устранения последствий совершения </w:t>
      </w:r>
      <w:r w:rsidRPr="00D73B45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террористического акта, противоречит охраняемым законом интересам общества и государства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.</w:t>
      </w:r>
    </w:p>
    <w:p w:rsidR="00860B78" w:rsidP="00860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</w:pP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Датой совершения описываемого административного правонарушения является 29</w:t>
      </w:r>
      <w:r w:rsidRPr="008875A2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.05.2024 года – дата выявления события административного правонарушения (дата проведения внепланового обследования и анализа состояния антитеррористической защищенности объекта - ТРЦ «Оазис Плаза» в г. Белоярский, расположенного по адресу: ул. Мира,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д. 1,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г. Белоярский, ХМАО-Югра)</w:t>
      </w:r>
      <w:r w:rsidRPr="00860B78"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>.</w:t>
      </w:r>
    </w:p>
    <w:p w:rsidR="00550320" w:rsidP="00550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20.35 Кодекса Российской Федерации об административных правонарушениях предусмотрена административная ответственность за  нарушение требований к антитеррористической защищенности объектов (территорий) либо 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данной статьи, статья</w:t>
      </w:r>
      <w:r w:rsidRPr="0028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11.15.1 и 20.30 данного Кодекса, если эти действия не содержат признаков уголовно наказуемого деяния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E58" w:rsidRPr="00C851FC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801DD2" w:rsid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Осадчук</w:t>
      </w:r>
      <w:r w:rsidR="006D5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01DD2" w:rsid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предусмотренного частью 1 статьи 20.35 Кодекса Российской Федерации об административных правонарушен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иях, подтверждается исследованными в ходе рассмотрения материалами дела: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№86ОВО101100720240002 от 10.07.2024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котором указаны место, время и обстоятельства совершенного 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Осадчук</w:t>
      </w:r>
      <w:r w:rsidR="006D5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801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противоправного </w:t>
      </w:r>
      <w:r w:rsidRPr="008875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</w:t>
      </w:r>
      <w:r w:rsid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полномоченным должностным лицом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81240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актом внеплановой проверки состояния антитеррористической защи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щенности торгового объекта ТРЦ «Оазис Плаза»</w:t>
      </w:r>
      <w:r w:rsidRPr="00E81240">
        <w:t xml:space="preserve"> 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расположенного по адресу: ул. Мира, д. 1, г. Белоярский, ХМАО-Югра</w:t>
      </w:r>
      <w:r w:rsidR="006D5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от 29.05.2024, согласно которому физическая охрана на торговом объекте не осуществляется. Охрана осуществляется иными силами: отделом контроля (контролеры работают круглосуточно, штат сотрудников – 6 человек), установлено, что антитеррористическая защищенность торгового объекта обеспечена не в полной мере;</w:t>
      </w:r>
    </w:p>
    <w:p w:rsidR="00E81240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рапортом инспектора ГООО ПОО Ханты-Мансийского ОВО -  филиала ФГКУ «УВО ВНГ России по ХМА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О-Югре» Залиловой А.Н. от 31.05.2024, согласно которо</w:t>
      </w:r>
      <w:r w:rsidR="006D5E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29.05.2024 в 09:30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Осадчук В.А.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находясь по адресу: ХМАО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-Югра, г.Нягань, 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микрорайон, дом 12, квартира 63, являясь должностным лицом - индивидуальным предпринимателем, допустил функционирование 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торгового объекта – торгово-развлекательный центр «Оазис плаза», расположенного по адресу: ХМАО-Югра, г.Белоярский, улица Мира, дом 1, с нарушением требований к антитеррористической защищенности объекта, утвержденные постановлением правительством РФ от 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10.2017 №1273 «Об утверждении требований к антитеррористической защищенности торговых объектов (территорий) и формы паспорта безопасности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торгового объекта (территорий)»; </w:t>
      </w:r>
    </w:p>
    <w:p w:rsidR="00E81240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определением о возбуждении дела об административном правонарушении и проведении ад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министративного расследования от 07.06.2024;</w:t>
      </w:r>
    </w:p>
    <w:p w:rsidR="00E81240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определением об истребовании сведений от 07.06.2024;</w:t>
      </w:r>
    </w:p>
    <w:p w:rsidR="00E81240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свидетельством о постановке на учет физического лица Осадчука В.А. в налоговом органе с присвоением 14.09.2001 ИНН 8610021763330; </w:t>
      </w:r>
    </w:p>
    <w:p w:rsidR="00E81240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выпиской из Единого</w:t>
      </w:r>
      <w:r w:rsidRPr="00E81240">
        <w:t xml:space="preserve"> 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реестра </w:t>
      </w:r>
      <w:r w:rsidR="00B6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недвижимости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11.04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кадастровый номер 86:06:0020101:2706,</w:t>
      </w:r>
      <w:r w:rsidRPr="00E812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адресу: ул. Мира, д. 1, г. Белоярский, ХМАО-Югра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3E58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кой из ЕГРИП №ИЭ9965-24-24742964 от 14.06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.2024, согласно которо</w:t>
      </w:r>
      <w:r w:rsidR="00B6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Осадчук В.А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зарегистрирован в качестве индивидуального предпринимателя, ОГРНИП </w:t>
      </w:r>
      <w:r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319861700006378</w:t>
      </w:r>
      <w:r w:rsidR="005E5BBE">
        <w:rPr>
          <w:rFonts w:ascii="Times New Roman" w:hAnsi="Times New Roman" w:cs="Times New Roman"/>
          <w:sz w:val="28"/>
          <w:szCs w:val="28"/>
        </w:rPr>
        <w:t>;</w:t>
      </w:r>
    </w:p>
    <w:p w:rsidR="005E5BBE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актом комиссионного обследования состояния антитеррористической защищенности и категори</w:t>
      </w:r>
      <w:r w:rsidR="00B61C68">
        <w:rPr>
          <w:rFonts w:ascii="Times New Roman" w:hAnsi="Times New Roman" w:cs="Times New Roman"/>
          <w:sz w:val="28"/>
          <w:szCs w:val="28"/>
        </w:rPr>
        <w:t>рования</w:t>
      </w:r>
      <w:r>
        <w:rPr>
          <w:rFonts w:ascii="Times New Roman" w:hAnsi="Times New Roman" w:cs="Times New Roman"/>
          <w:sz w:val="28"/>
          <w:szCs w:val="28"/>
        </w:rPr>
        <w:t xml:space="preserve"> торгово-развлекательного центра «Оазис плаза» в г.Белоярский, в соответствии с постановлением Правитель</w:t>
      </w:r>
      <w:r>
        <w:rPr>
          <w:rFonts w:ascii="Times New Roman" w:hAnsi="Times New Roman" w:cs="Times New Roman"/>
          <w:sz w:val="28"/>
          <w:szCs w:val="28"/>
        </w:rPr>
        <w:t>ства РФ от 19.10.2017 №1273;</w:t>
      </w:r>
    </w:p>
    <w:p w:rsidR="005E5BBE" w:rsidP="00783E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договором дарения от 15.12.2020.   </w:t>
      </w:r>
    </w:p>
    <w:p w:rsidR="007025FA" w:rsidP="007025F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E1B2D">
        <w:rPr>
          <w:rFonts w:ascii="Times New Roman" w:hAnsi="Times New Roman"/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</w:t>
      </w:r>
      <w:hyperlink r:id="rId4" w:history="1">
        <w:r w:rsidRPr="009E1B2D">
          <w:rPr>
            <w:rFonts w:ascii="Times New Roman" w:hAnsi="Times New Roman"/>
            <w:color w:val="000000"/>
            <w:sz w:val="28"/>
            <w:szCs w:val="28"/>
          </w:rPr>
          <w:t>ст. 26.11</w:t>
        </w:r>
      </w:hyperlink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2E5A">
        <w:rPr>
          <w:rFonts w:ascii="Times New Roman" w:hAnsi="Times New Roman"/>
          <w:color w:val="000000"/>
          <w:sz w:val="28"/>
          <w:szCs w:val="28"/>
        </w:rPr>
        <w:t xml:space="preserve">Кодекса Российской </w:t>
      </w:r>
      <w:r w:rsidRPr="00532E5A">
        <w:rPr>
          <w:rFonts w:ascii="Times New Roman" w:hAnsi="Times New Roman"/>
          <w:color w:val="000000"/>
          <w:sz w:val="28"/>
          <w:szCs w:val="28"/>
        </w:rPr>
        <w:t>Федерации об административных правонарушениях,</w:t>
      </w:r>
      <w:r w:rsidRPr="009E1B2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9E1B2D">
        <w:rPr>
          <w:rFonts w:ascii="Times New Roman" w:hAnsi="Times New Roman"/>
          <w:color w:val="000000"/>
          <w:sz w:val="28"/>
          <w:szCs w:val="28"/>
        </w:rPr>
        <w:t>ировой судья считает их относимыми и допустимыми, полностью согласуются между собой, нашли объективное подтверждение в ходе судебного разбирательства.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Оценив представленные доказательства в их совокупности, 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ировой судья приходит к выводу о том, что вина </w:t>
      </w:r>
      <w:r w:rsidRPr="00801DD2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Осадчук</w:t>
      </w:r>
      <w:r w:rsidR="00B6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01DD2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 полностью доказана.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Pr="00801DD2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Осадчук</w:t>
      </w:r>
      <w:r w:rsidR="00B61C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01DD2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мировой судья квал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ифицирует по части 1 статьи 20.3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Кодекса Российской Федерации об административных правонарушениях - как нарушение </w:t>
      </w:r>
      <w:hyperlink r:id="rId5" w:anchor="dst0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требований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антитеррористической защищенности объектов (территорий).</w:t>
      </w:r>
    </w:p>
    <w:p w:rsidR="00550320" w:rsidP="00550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пунктам 1, 7 </w:t>
      </w:r>
      <w:r w:rsidRPr="006D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 </w:t>
      </w:r>
      <w:hyperlink r:id="rId6" w:tgtFrame="_blank" w:tooltip="Федеральный закон от 26.03.2003 N 35-ФЗ &gt; (ред. от 14.02.2024) &gt; " w:history="1">
        <w:r w:rsidRPr="006D61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</w:hyperlink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5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ru-RU"/>
        </w:rPr>
        <w:t xml:space="preserve">35-ФЗ </w:t>
      </w:r>
      <w:r w:rsidRPr="006D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основным принципам противодействия терроризму в Ро</w:t>
      </w:r>
      <w:r w:rsidRPr="006D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ссийской Федерации отнесены обеспечение и защита основных прав и свобод человека и гражданина,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приоритет мер предупреждения терроризма.</w:t>
      </w:r>
    </w:p>
    <w:p w:rsidR="00550320" w:rsidP="00550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D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Одним из основных направлений противодействия терроризму является деятельность по его предупреждению, в том числе по выя</w:t>
      </w:r>
      <w:r w:rsidRPr="006D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влению и устранению причин и условий, способствующих совершению террористических актов (пункт "а" части 4 статьи </w:t>
      </w:r>
      <w:hyperlink r:id="rId7" w:tgtFrame="_blank" w:tooltip="Федеральный закон от 26.03.2003 N 35-ФЗ &gt; (ред. от 14.02.2024) &gt; " w:history="1">
        <w:r w:rsidRPr="006D611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3</w:t>
        </w:r>
      </w:hyperlink>
      <w:r w:rsidRPr="006D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№</w:t>
      </w:r>
      <w:r w:rsidRPr="006D6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35-ФЗ).</w:t>
      </w:r>
    </w:p>
    <w:p w:rsidR="00550320" w:rsidP="00550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1 ст. </w:t>
      </w:r>
      <w:hyperlink r:id="rId8" w:tgtFrame="_blank" w:tooltip="КОАП &gt;  Раздел I. Общие положения &gt; Глава 3. Административное наказание &gt; Статья 3.1. Цели административного наказания" w:history="1">
        <w:r w:rsidRPr="007B4E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3.1 </w:t>
        </w:r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 Российской Федерации об административных правонарушениях</w:t>
        </w:r>
        <w:r w:rsidRPr="007B4EB7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административное наказание является установленной государством мерой ответственности за совершение </w:t>
      </w: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 правонарушения и применяется в целях </w:t>
      </w: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предупреждения совершения новых правонарушений как самим правонарушителем , так и другими лицами.</w:t>
      </w:r>
    </w:p>
    <w:p w:rsidR="00550320" w:rsidP="005503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рассматриваемом деле, объектом посягательства выступают общественные отношения в сфере безопасности населения, обеспечения жизни и здоровья граждан, игнорирование требований законодательства о противодействии терроризму влечет угрозу жизни и здоровья гра</w:t>
      </w:r>
      <w:r w:rsidRPr="007B4E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ждан, а также имуществу всех форм собственности. 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 Осадчук</w:t>
      </w:r>
      <w:r w:rsidR="00550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5E5BBE" w:rsid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В.А</w:t>
      </w:r>
      <w:r w:rsidR="00571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мировой судья учитывает характер совершенного </w:t>
      </w:r>
      <w:r w:rsidR="00550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="007025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административного правонарушения.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етственность, не установлено.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изложенного, руководствуясь частью 1 статьи 20.35, статьями 29.9, 29.10 Кодекса Российской Федерации об административных правонарушениях, мировой судья</w:t>
      </w:r>
    </w:p>
    <w:p w:rsidR="00636205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ПОСТАНОВИ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Л:</w:t>
      </w:r>
    </w:p>
    <w:p w:rsidR="00636205" w:rsidRPr="00C851FC" w:rsidP="00783E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ндивидуального предпринимателя Осадчука</w:t>
      </w:r>
      <w:r w:rsidRPr="005E5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Владимира Андреевича, ОГРНИП 319861700006378, ИНН 861002176330</w:t>
      </w:r>
      <w:r w:rsidRPr="00C851FC" w:rsidR="00230A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="00B866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совершении правонарушения, предусмотренного частью 1 статьи 20.35 Кодекса Российской Федерации об административных правонарушениях и назначить е</w:t>
      </w:r>
      <w:r w:rsidR="00550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C851FC" w:rsidR="00232C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 в размере 30 000 (тридцать тысяч) рублей.</w:t>
      </w:r>
    </w:p>
    <w:p w:rsidR="002B42BB" w:rsidP="00392651">
      <w:pPr>
        <w:spacing w:after="0" w:line="240" w:lineRule="auto"/>
        <w:ind w:firstLine="69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 автономному округу – Югре БИК 007162163 ОКТМО 71879000 ИНН 8601073664 КПП 860101001 КБК 72011601203019000140, идентификатор  </w:t>
      </w:r>
      <w:r w:rsidRPr="005E5BBE" w:rsidR="005E5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0412365400535009062420112</w:t>
      </w:r>
      <w:r w:rsidRP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651" w:rsidRPr="00C851FC" w:rsidP="00392651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Разъяснить о том, что в соответствии с частью 1 статьи 32.2 Кодекса Российской Федерации об администр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исключением случаев, предусмотренных </w:t>
      </w:r>
      <w:hyperlink r:id="rId9" w:anchor="sub_32201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02013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anchor="sub_32213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9" w:anchor="sub_302014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anchor="sub_315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статьей </w:t>
        </w:r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31.5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 В тот же срок должна быть предъявлена квитанция об уплате штрафа в 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>канцелярию судебного участка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ХМАО-Югры.</w:t>
      </w:r>
    </w:p>
    <w:p w:rsidR="00783E58" w:rsidRPr="00C851FC" w:rsidP="0039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отсутствии документа (в том числе не предъявлении квитанции в указанные выше сроки 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0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тивного ареста сроком до 15 суток, либо обязательные работы на срок до 50 часов.</w:t>
      </w: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783E58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763FD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2B42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Е.С.Колосова</w:t>
      </w:r>
    </w:p>
    <w:sectPr w:rsidSect="009A0AE7"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63620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729">
          <w:rPr>
            <w:noProof/>
          </w:rPr>
          <w:t>4</w:t>
        </w:r>
        <w:r>
          <w:fldChar w:fldCharType="end"/>
        </w:r>
      </w:p>
    </w:sdtContent>
  </w:sdt>
  <w:p w:rsidR="0063620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16E3E"/>
    <w:rsid w:val="00032E3B"/>
    <w:rsid w:val="000520CF"/>
    <w:rsid w:val="0005662C"/>
    <w:rsid w:val="00071C8C"/>
    <w:rsid w:val="00075CA5"/>
    <w:rsid w:val="00082480"/>
    <w:rsid w:val="000B7EFF"/>
    <w:rsid w:val="00125290"/>
    <w:rsid w:val="00132802"/>
    <w:rsid w:val="00147051"/>
    <w:rsid w:val="00184BBD"/>
    <w:rsid w:val="001A0561"/>
    <w:rsid w:val="001A1BFA"/>
    <w:rsid w:val="001E3F0C"/>
    <w:rsid w:val="001F65BD"/>
    <w:rsid w:val="00213BB9"/>
    <w:rsid w:val="00225D97"/>
    <w:rsid w:val="00230A9A"/>
    <w:rsid w:val="00232CAF"/>
    <w:rsid w:val="00260F24"/>
    <w:rsid w:val="0026578A"/>
    <w:rsid w:val="0027085E"/>
    <w:rsid w:val="00280D60"/>
    <w:rsid w:val="00285F19"/>
    <w:rsid w:val="002B42BB"/>
    <w:rsid w:val="002D7058"/>
    <w:rsid w:val="002E3495"/>
    <w:rsid w:val="0030390A"/>
    <w:rsid w:val="00331696"/>
    <w:rsid w:val="00343342"/>
    <w:rsid w:val="003635C9"/>
    <w:rsid w:val="0039143A"/>
    <w:rsid w:val="00392651"/>
    <w:rsid w:val="00394AE4"/>
    <w:rsid w:val="003B77FA"/>
    <w:rsid w:val="003C7EBA"/>
    <w:rsid w:val="003F17FA"/>
    <w:rsid w:val="003F6EAF"/>
    <w:rsid w:val="00406DD2"/>
    <w:rsid w:val="0041428E"/>
    <w:rsid w:val="00423729"/>
    <w:rsid w:val="004B6634"/>
    <w:rsid w:val="004C0DAC"/>
    <w:rsid w:val="004C1765"/>
    <w:rsid w:val="004C17FF"/>
    <w:rsid w:val="004D7EFF"/>
    <w:rsid w:val="00514D7F"/>
    <w:rsid w:val="00525699"/>
    <w:rsid w:val="00532E5A"/>
    <w:rsid w:val="00550320"/>
    <w:rsid w:val="005633B0"/>
    <w:rsid w:val="0057118A"/>
    <w:rsid w:val="005962C1"/>
    <w:rsid w:val="005E5BBE"/>
    <w:rsid w:val="00636205"/>
    <w:rsid w:val="00653EF4"/>
    <w:rsid w:val="006726C1"/>
    <w:rsid w:val="006877D4"/>
    <w:rsid w:val="00697A89"/>
    <w:rsid w:val="006A005A"/>
    <w:rsid w:val="006A383F"/>
    <w:rsid w:val="006C2D7D"/>
    <w:rsid w:val="006C4B46"/>
    <w:rsid w:val="006D5E77"/>
    <w:rsid w:val="006D6119"/>
    <w:rsid w:val="006E4BAE"/>
    <w:rsid w:val="00700DAC"/>
    <w:rsid w:val="00702144"/>
    <w:rsid w:val="007025FA"/>
    <w:rsid w:val="00757967"/>
    <w:rsid w:val="0076715E"/>
    <w:rsid w:val="00773DBE"/>
    <w:rsid w:val="00783E58"/>
    <w:rsid w:val="007B4EB7"/>
    <w:rsid w:val="007C27CA"/>
    <w:rsid w:val="007D2C68"/>
    <w:rsid w:val="00801DD2"/>
    <w:rsid w:val="00807B14"/>
    <w:rsid w:val="00831F9E"/>
    <w:rsid w:val="00852CED"/>
    <w:rsid w:val="00860B78"/>
    <w:rsid w:val="00867CAD"/>
    <w:rsid w:val="00877800"/>
    <w:rsid w:val="008875A2"/>
    <w:rsid w:val="00897204"/>
    <w:rsid w:val="008C4BB4"/>
    <w:rsid w:val="008D04FE"/>
    <w:rsid w:val="00902DE8"/>
    <w:rsid w:val="00933F10"/>
    <w:rsid w:val="00965E9D"/>
    <w:rsid w:val="00967277"/>
    <w:rsid w:val="009763FD"/>
    <w:rsid w:val="009871BD"/>
    <w:rsid w:val="009A0AE7"/>
    <w:rsid w:val="009B053B"/>
    <w:rsid w:val="009B4FC5"/>
    <w:rsid w:val="009E1B2D"/>
    <w:rsid w:val="009E4E68"/>
    <w:rsid w:val="00A0196C"/>
    <w:rsid w:val="00A2570B"/>
    <w:rsid w:val="00A32911"/>
    <w:rsid w:val="00A33C0B"/>
    <w:rsid w:val="00A37AFE"/>
    <w:rsid w:val="00A61E71"/>
    <w:rsid w:val="00A81985"/>
    <w:rsid w:val="00A85DD1"/>
    <w:rsid w:val="00AA11BB"/>
    <w:rsid w:val="00AA5881"/>
    <w:rsid w:val="00AC090D"/>
    <w:rsid w:val="00B06E6E"/>
    <w:rsid w:val="00B4796B"/>
    <w:rsid w:val="00B506BD"/>
    <w:rsid w:val="00B61C68"/>
    <w:rsid w:val="00B76BBD"/>
    <w:rsid w:val="00B8662D"/>
    <w:rsid w:val="00BB37BE"/>
    <w:rsid w:val="00BB3A96"/>
    <w:rsid w:val="00BD1463"/>
    <w:rsid w:val="00BD6AC4"/>
    <w:rsid w:val="00C06DDB"/>
    <w:rsid w:val="00C37FAC"/>
    <w:rsid w:val="00C851FC"/>
    <w:rsid w:val="00C971A2"/>
    <w:rsid w:val="00CB4CB9"/>
    <w:rsid w:val="00CF29EF"/>
    <w:rsid w:val="00D56E9B"/>
    <w:rsid w:val="00D73B45"/>
    <w:rsid w:val="00D777E4"/>
    <w:rsid w:val="00D907A6"/>
    <w:rsid w:val="00DA36A3"/>
    <w:rsid w:val="00DA434A"/>
    <w:rsid w:val="00DE10A0"/>
    <w:rsid w:val="00E11567"/>
    <w:rsid w:val="00E575DB"/>
    <w:rsid w:val="00E81240"/>
    <w:rsid w:val="00EA362F"/>
    <w:rsid w:val="00F11344"/>
    <w:rsid w:val="00F1666B"/>
    <w:rsid w:val="00F47473"/>
    <w:rsid w:val="00F5220D"/>
    <w:rsid w:val="00F656D5"/>
    <w:rsid w:val="00FC2355"/>
    <w:rsid w:val="00FE1473"/>
    <w:rsid w:val="00FE2666"/>
    <w:rsid w:val="00FE77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DF7C4F-8420-4096-9241-F3F1B980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styleId="BodyText">
    <w:name w:val="Body Text"/>
    <w:basedOn w:val="Normal"/>
    <w:link w:val="a3"/>
    <w:uiPriority w:val="99"/>
    <w:semiHidden/>
    <w:unhideWhenUsed/>
    <w:rsid w:val="00C971A2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C971A2"/>
  </w:style>
  <w:style w:type="paragraph" w:styleId="Title">
    <w:name w:val="Title"/>
    <w:basedOn w:val="Normal"/>
    <w:link w:val="a4"/>
    <w:uiPriority w:val="10"/>
    <w:qFormat/>
    <w:rsid w:val="00A2570B"/>
    <w:pPr>
      <w:spacing w:after="0" w:line="240" w:lineRule="auto"/>
      <w:jc w:val="center"/>
    </w:pPr>
    <w:rPr>
      <w:rFonts w:ascii="Times New Roman" w:hAnsi="Times New Roman" w:eastAsiaTheme="minorEastAsia" w:cs="Times New Roman"/>
      <w:sz w:val="28"/>
      <w:szCs w:val="20"/>
      <w:lang w:eastAsia="ru-RU"/>
    </w:rPr>
  </w:style>
  <w:style w:type="character" w:customStyle="1" w:styleId="a4">
    <w:name w:val="Название Знак"/>
    <w:basedOn w:val="DefaultParagraphFont"/>
    <w:link w:val="Title"/>
    <w:uiPriority w:val="10"/>
    <w:rsid w:val="00A2570B"/>
    <w:rPr>
      <w:rFonts w:ascii="Times New Roman" w:hAnsi="Times New Roman" w:eastAsiaTheme="minorEastAsia" w:cs="Times New Roman"/>
      <w:sz w:val="28"/>
      <w:szCs w:val="20"/>
      <w:lang w:eastAsia="ru-RU"/>
    </w:rPr>
  </w:style>
  <w:style w:type="paragraph" w:customStyle="1" w:styleId="s1">
    <w:name w:val="s_1"/>
    <w:basedOn w:val="Normal"/>
    <w:rsid w:val="0075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document/redirect/12125267/2611" TargetMode="External" /><Relationship Id="rId5" Type="http://schemas.openxmlformats.org/officeDocument/2006/relationships/hyperlink" Target="http://www.consultant.ru/document/cons_doc_LAW_347057/" TargetMode="External" /><Relationship Id="rId6" Type="http://schemas.openxmlformats.org/officeDocument/2006/relationships/hyperlink" Target="https://sudact.ru/law/federalnyi-zakon-ot-26032003-n-35-fz-ob/glava-1/statia-2/" TargetMode="External" /><Relationship Id="rId7" Type="http://schemas.openxmlformats.org/officeDocument/2006/relationships/hyperlink" Target="https://sudact.ru/law/federalnyi-zakon-ot-26032003-n-35-fz-ob/glava-1/statia-3/" TargetMode="External" /><Relationship Id="rId8" Type="http://schemas.openxmlformats.org/officeDocument/2006/relationships/hyperlink" Target="https://sudact.ru/law/koap/razdel-i/glava-3/statia-3.1/" TargetMode="External" /><Relationship Id="rId9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